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C84" w:rsidRDefault="00881C8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881C84" w:rsidRDefault="00881C8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7E0D20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2022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4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Pr="00E619C8" w:rsidRDefault="007E6631" w:rsidP="00E619C8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 w:themeFill="background1"/>
        </w:rPr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E90CFD" wp14:editId="55A417CE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881C84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C84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1C84" w:rsidRDefault="00881C84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 w:rsidP="008429C8">
                                  <w:pPr>
                                    <w:pStyle w:val="af1"/>
                                  </w:pPr>
                                  <w:r>
                                    <w:t xml:space="preserve">       2022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881C84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881C84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81C84" w:rsidRDefault="00881C84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81C84" w:rsidRDefault="00881C8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0CFD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881C84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881C84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1C84" w:rsidRDefault="00881C84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881C84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881C84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 w:rsidP="008429C8">
                            <w:pPr>
                              <w:pStyle w:val="af1"/>
                            </w:pPr>
                            <w:r>
                              <w:t xml:space="preserve">       2022</w:t>
                            </w:r>
                          </w:p>
                        </w:tc>
                      </w:tr>
                      <w:tr w:rsidR="00881C84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881C84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881C84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881C84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881C84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81C84" w:rsidRDefault="00881C84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81C84" w:rsidRDefault="00881C84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881C84" w:rsidRDefault="00881C8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421D1F">
        <w:rPr>
          <w:sz w:val="24"/>
          <w:szCs w:val="24"/>
          <w:shd w:val="clear" w:color="auto" w:fill="FFFFFF" w:themeFill="background1"/>
        </w:rPr>
        <w:t xml:space="preserve"> </w:t>
      </w:r>
      <w:r w:rsidR="00732979">
        <w:rPr>
          <w:sz w:val="24"/>
          <w:szCs w:val="24"/>
          <w:shd w:val="clear" w:color="auto" w:fill="FFFFFF" w:themeFill="background1"/>
        </w:rPr>
        <w:t>11</w:t>
      </w:r>
      <w:r w:rsidR="002A6A94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r w:rsidR="008429C8">
        <w:rPr>
          <w:sz w:val="24"/>
          <w:szCs w:val="24"/>
          <w:shd w:val="clear" w:color="auto" w:fill="FFFFFF" w:themeFill="background1"/>
        </w:rPr>
        <w:t>апреля</w:t>
      </w:r>
      <w:r w:rsidR="00897556">
        <w:rPr>
          <w:sz w:val="24"/>
          <w:szCs w:val="24"/>
          <w:shd w:val="clear" w:color="auto" w:fill="FFFFFF" w:themeFill="background1"/>
        </w:rPr>
        <w:t xml:space="preserve"> 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E619C8">
        <w:rPr>
          <w:sz w:val="24"/>
          <w:szCs w:val="24"/>
          <w:shd w:val="clear" w:color="auto" w:fill="FFFFFF" w:themeFill="background1"/>
        </w:rPr>
        <w:t>2022</w:t>
      </w:r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C84" w:rsidRDefault="00881C8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881C84" w:rsidRDefault="00881C8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B080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32979">
              <w:rPr>
                <w:bCs/>
                <w:sz w:val="22"/>
                <w:szCs w:val="22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AE7F12">
        <w:trPr>
          <w:trHeight w:val="70"/>
        </w:trPr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8429C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7556" w:rsidRPr="00897556" w:rsidRDefault="00CE07DD" w:rsidP="008975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32979">
              <w:rPr>
                <w:sz w:val="24"/>
                <w:szCs w:val="24"/>
              </w:rPr>
              <w:t>8960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8429C8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</w:t>
            </w:r>
            <w:r w:rsidR="00C33DAB">
              <w:rPr>
                <w:sz w:val="24"/>
                <w:szCs w:val="24"/>
              </w:rPr>
              <w:t>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E7F12" w:rsidRDefault="00AE7F12" w:rsidP="00AE7F12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 w:rsidP="00AE7F1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C84" w:rsidRDefault="00881C84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881C84" w:rsidRDefault="00881C84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="008429C8">
              <w:rPr>
                <w:sz w:val="22"/>
                <w:szCs w:val="22"/>
              </w:rPr>
              <w:t>ББ78АА00003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732979" w:rsidRDefault="00732979" w:rsidP="007A015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27,8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 для детей и юношества от общего количества мероприятий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 w:rsidP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732979" w:rsidRDefault="007329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72,2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B7A4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8429C8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участников вокальных и хоровых секций (кружков)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CE7A9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732979" w:rsidRDefault="004961D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42,8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6B7A4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8429C8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участников декоративно-прикладных секций (кружков)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732979" w:rsidRDefault="004961D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6B7A4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8429C8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участников театральных секций (кружков)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732979" w:rsidRDefault="004961D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13,3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6B7A4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8429C8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A214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участников хореографических сек</w:t>
            </w:r>
            <w:r w:rsidR="004961D5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732979" w:rsidRDefault="004961D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35,7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6B7A4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29C8" w:rsidRPr="00083309" w:rsidRDefault="008429C8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Pr="005362C0" w:rsidRDefault="005362C0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5362C0" w:rsidRDefault="005362C0">
      <w:pPr>
        <w:keepNext/>
        <w:outlineLvl w:val="3"/>
        <w:rPr>
          <w:sz w:val="24"/>
          <w:szCs w:val="24"/>
        </w:rPr>
      </w:pP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8429C8">
              <w:rPr>
                <w:sz w:val="22"/>
                <w:szCs w:val="22"/>
              </w:rPr>
              <w:t>А00003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41D58" w:rsidP="00F10A9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2979">
              <w:rPr>
                <w:sz w:val="22"/>
                <w:szCs w:val="22"/>
              </w:rPr>
              <w:t>2 684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E7F12" w:rsidRDefault="00651551" w:rsidP="00AE7F12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</w:t>
      </w:r>
      <w:r w:rsidR="00AE7F12">
        <w:rPr>
          <w:kern w:val="2"/>
          <w:sz w:val="16"/>
          <w:szCs w:val="16"/>
          <w:shd w:val="clear" w:color="auto" w:fill="FFFFFF"/>
        </w:rPr>
        <w:t>ата нормативного правового акта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C84" w:rsidRPr="001B2409" w:rsidRDefault="00881C84" w:rsidP="00651551"/>
                          <w:p w:rsidR="00881C84" w:rsidRDefault="00881C84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881C84" w:rsidRPr="001B2409" w:rsidRDefault="00881C84" w:rsidP="00651551"/>
                    <w:p w:rsidR="00881C84" w:rsidRDefault="00881C84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="005362C0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</w:t>
      </w:r>
    </w:p>
    <w:p w:rsidR="0063779B" w:rsidRP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4D29420" wp14:editId="7D898F4D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881C84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81C84" w:rsidRPr="00663023" w:rsidRDefault="00881C84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881C84" w:rsidRPr="00663023" w:rsidRDefault="00881C84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81C84" w:rsidRPr="00663023" w:rsidRDefault="00881C84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81C84" w:rsidRPr="00663023" w:rsidRDefault="00881C84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881C84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881C84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663023" w:rsidRDefault="00881C84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881C84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81C84" w:rsidRPr="00CE7DA3" w:rsidRDefault="00881C84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81C84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881C84" w:rsidRPr="00663023" w:rsidRDefault="00881C84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881C84" w:rsidRPr="00663023" w:rsidRDefault="00881C84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81C84" w:rsidRPr="00663023" w:rsidRDefault="00881C84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C84" w:rsidRDefault="00881C84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9420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881C84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81C84" w:rsidRPr="00663023" w:rsidRDefault="00881C84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881C84" w:rsidRPr="00663023" w:rsidRDefault="00881C84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81C84" w:rsidRPr="00663023" w:rsidRDefault="00881C84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81C84" w:rsidRPr="00663023" w:rsidRDefault="00881C84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881C84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881C84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881C84" w:rsidRPr="00663023" w:rsidRDefault="00881C84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663023" w:rsidRDefault="00881C84">
                            <w:pPr>
                              <w:pStyle w:val="af1"/>
                            </w:pPr>
                          </w:p>
                        </w:tc>
                      </w:tr>
                      <w:tr w:rsidR="00881C84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881C84" w:rsidRPr="00CE7DA3" w:rsidRDefault="00881C84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881C84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881C84" w:rsidRPr="00663023" w:rsidRDefault="00881C84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881C84" w:rsidRPr="00663023" w:rsidRDefault="00881C84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81C84" w:rsidRPr="00663023" w:rsidRDefault="00881C84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881C84" w:rsidRDefault="00881C84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486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426"/>
      </w:tblGrid>
      <w:tr w:rsidR="00757C76" w:rsidRPr="00ED71A0" w:rsidTr="00AE7F12"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 xml:space="preserve">создание и содержание пешеходных и зеленых зон, мест </w:t>
            </w:r>
            <w:r w:rsidRPr="00ED71A0">
              <w:rPr>
                <w:bCs/>
                <w:color w:val="000000"/>
              </w:rPr>
              <w:lastRenderedPageBreak/>
              <w:t>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lastRenderedPageBreak/>
              <w:t xml:space="preserve">обеспечение условий для проведения для жителей и гостей города мероприятий городского, </w:t>
            </w:r>
            <w:r w:rsidRPr="00ED71A0">
              <w:lastRenderedPageBreak/>
              <w:t>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 xml:space="preserve">содержание </w:t>
            </w:r>
            <w:r w:rsidRPr="00ED71A0">
              <w:lastRenderedPageBreak/>
              <w:t>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32979" w:rsidRDefault="008429C8" w:rsidP="00791909">
            <w:pPr>
              <w:spacing w:line="228" w:lineRule="auto"/>
              <w:jc w:val="center"/>
            </w:pPr>
            <w:r w:rsidRPr="00732979">
              <w:lastRenderedPageBreak/>
              <w:t>18 664,0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32979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32979" w:rsidRDefault="008429C8" w:rsidP="00757C76">
            <w:pPr>
              <w:spacing w:line="228" w:lineRule="auto"/>
              <w:jc w:val="center"/>
            </w:pPr>
            <w:r w:rsidRPr="00732979">
              <w:t>18 664,0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8429C8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«  » апреля </w:t>
      </w:r>
      <w:r w:rsidR="00374C7D">
        <w:rPr>
          <w:sz w:val="24"/>
          <w:szCs w:val="24"/>
        </w:rPr>
        <w:t xml:space="preserve"> 2022</w:t>
      </w:r>
      <w:r w:rsidR="007E6631"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lastRenderedPageBreak/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05ECC"/>
    <w:rsid w:val="00012CDF"/>
    <w:rsid w:val="000213DC"/>
    <w:rsid w:val="00041D58"/>
    <w:rsid w:val="00070501"/>
    <w:rsid w:val="00072236"/>
    <w:rsid w:val="00080B48"/>
    <w:rsid w:val="00083309"/>
    <w:rsid w:val="000A25AE"/>
    <w:rsid w:val="001026AF"/>
    <w:rsid w:val="001048F6"/>
    <w:rsid w:val="001418F3"/>
    <w:rsid w:val="00147EA6"/>
    <w:rsid w:val="00151FFB"/>
    <w:rsid w:val="0016774F"/>
    <w:rsid w:val="001D2359"/>
    <w:rsid w:val="001F0906"/>
    <w:rsid w:val="001F5A7B"/>
    <w:rsid w:val="001F75F2"/>
    <w:rsid w:val="00270540"/>
    <w:rsid w:val="0029624A"/>
    <w:rsid w:val="002964B3"/>
    <w:rsid w:val="002A6A94"/>
    <w:rsid w:val="002C063C"/>
    <w:rsid w:val="002C5298"/>
    <w:rsid w:val="002D5956"/>
    <w:rsid w:val="00327D92"/>
    <w:rsid w:val="0034554D"/>
    <w:rsid w:val="00374C7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1D1F"/>
    <w:rsid w:val="004228B3"/>
    <w:rsid w:val="00451084"/>
    <w:rsid w:val="00484519"/>
    <w:rsid w:val="004961D5"/>
    <w:rsid w:val="004B7692"/>
    <w:rsid w:val="004E2F52"/>
    <w:rsid w:val="004E4718"/>
    <w:rsid w:val="00501FA0"/>
    <w:rsid w:val="00516CF4"/>
    <w:rsid w:val="00521A79"/>
    <w:rsid w:val="005362C0"/>
    <w:rsid w:val="005778A5"/>
    <w:rsid w:val="005D149B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B7A48"/>
    <w:rsid w:val="006C034C"/>
    <w:rsid w:val="006E4B66"/>
    <w:rsid w:val="00732979"/>
    <w:rsid w:val="00743B9A"/>
    <w:rsid w:val="00757C76"/>
    <w:rsid w:val="007904FA"/>
    <w:rsid w:val="00791909"/>
    <w:rsid w:val="007966E2"/>
    <w:rsid w:val="00796AF4"/>
    <w:rsid w:val="007A015D"/>
    <w:rsid w:val="007C7774"/>
    <w:rsid w:val="007D5753"/>
    <w:rsid w:val="007E0AD5"/>
    <w:rsid w:val="007E0D20"/>
    <w:rsid w:val="007E6631"/>
    <w:rsid w:val="007E7327"/>
    <w:rsid w:val="007F7594"/>
    <w:rsid w:val="00842937"/>
    <w:rsid w:val="008429C8"/>
    <w:rsid w:val="00842C75"/>
    <w:rsid w:val="008813B4"/>
    <w:rsid w:val="00881C84"/>
    <w:rsid w:val="00885F42"/>
    <w:rsid w:val="00897556"/>
    <w:rsid w:val="008A1637"/>
    <w:rsid w:val="008C14E2"/>
    <w:rsid w:val="009109DF"/>
    <w:rsid w:val="00941481"/>
    <w:rsid w:val="00954355"/>
    <w:rsid w:val="00980DC8"/>
    <w:rsid w:val="00983610"/>
    <w:rsid w:val="009A07A6"/>
    <w:rsid w:val="009B0802"/>
    <w:rsid w:val="009D1EA7"/>
    <w:rsid w:val="009E4109"/>
    <w:rsid w:val="009E6A10"/>
    <w:rsid w:val="009F00D6"/>
    <w:rsid w:val="00A02103"/>
    <w:rsid w:val="00A06323"/>
    <w:rsid w:val="00A14233"/>
    <w:rsid w:val="00A21496"/>
    <w:rsid w:val="00A56CDA"/>
    <w:rsid w:val="00A641B9"/>
    <w:rsid w:val="00AA4DBD"/>
    <w:rsid w:val="00AA56F8"/>
    <w:rsid w:val="00AE7F12"/>
    <w:rsid w:val="00AF5BE7"/>
    <w:rsid w:val="00B42220"/>
    <w:rsid w:val="00B45A51"/>
    <w:rsid w:val="00B547A8"/>
    <w:rsid w:val="00B9108B"/>
    <w:rsid w:val="00B95D74"/>
    <w:rsid w:val="00B96399"/>
    <w:rsid w:val="00BD334C"/>
    <w:rsid w:val="00C33DAB"/>
    <w:rsid w:val="00C46CC0"/>
    <w:rsid w:val="00C55C2D"/>
    <w:rsid w:val="00C6431E"/>
    <w:rsid w:val="00C83CDD"/>
    <w:rsid w:val="00CE07DD"/>
    <w:rsid w:val="00CE1F4A"/>
    <w:rsid w:val="00CE7032"/>
    <w:rsid w:val="00CE7A90"/>
    <w:rsid w:val="00CE7DA3"/>
    <w:rsid w:val="00D11661"/>
    <w:rsid w:val="00D13288"/>
    <w:rsid w:val="00D1782C"/>
    <w:rsid w:val="00D27023"/>
    <w:rsid w:val="00D677AB"/>
    <w:rsid w:val="00D90BAB"/>
    <w:rsid w:val="00E016B9"/>
    <w:rsid w:val="00E04AD0"/>
    <w:rsid w:val="00E12946"/>
    <w:rsid w:val="00E375E9"/>
    <w:rsid w:val="00E619C8"/>
    <w:rsid w:val="00E919DB"/>
    <w:rsid w:val="00EC2CD0"/>
    <w:rsid w:val="00ED71A0"/>
    <w:rsid w:val="00EE507B"/>
    <w:rsid w:val="00F10A9F"/>
    <w:rsid w:val="00F253D5"/>
    <w:rsid w:val="00F33D22"/>
    <w:rsid w:val="00F53BE9"/>
    <w:rsid w:val="00F62367"/>
    <w:rsid w:val="00F771AB"/>
    <w:rsid w:val="00F80C95"/>
    <w:rsid w:val="00F84C1E"/>
    <w:rsid w:val="00F913A8"/>
    <w:rsid w:val="00F92103"/>
    <w:rsid w:val="00F949B1"/>
    <w:rsid w:val="00FA0B84"/>
    <w:rsid w:val="00FA4C08"/>
    <w:rsid w:val="00FB69CA"/>
    <w:rsid w:val="00FD0312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99765-E5F6-4A98-8324-64DE864B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2587-E647-4416-B480-1A4B0702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56</cp:revision>
  <cp:lastPrinted>2022-01-14T11:55:00Z</cp:lastPrinted>
  <dcterms:created xsi:type="dcterms:W3CDTF">2021-04-05T13:56:00Z</dcterms:created>
  <dcterms:modified xsi:type="dcterms:W3CDTF">2022-11-04T10:54:00Z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